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7492" w14:textId="77777777" w:rsidR="00D41E00" w:rsidRDefault="00224E23">
      <w:pPr>
        <w:pStyle w:val="BodyA"/>
        <w:spacing w:before="20" w:after="200"/>
      </w:pPr>
      <w:r>
        <w:rPr>
          <w:b/>
          <w:bCs/>
        </w:rPr>
        <w:t>Dated</w:t>
      </w:r>
      <w:r>
        <w:t xml:space="preserve">  2 October 2018</w:t>
      </w:r>
      <w:r>
        <w:rPr>
          <w:noProof/>
        </w:rPr>
        <mc:AlternateContent>
          <mc:Choice Requires="wps">
            <w:drawing>
              <wp:anchor distT="152400" distB="152400" distL="152400" distR="152400" simplePos="0" relativeHeight="251659264" behindDoc="0" locked="0" layoutInCell="1" allowOverlap="1" wp14:anchorId="03A24DDF" wp14:editId="04921984">
                <wp:simplePos x="0" y="0"/>
                <wp:positionH relativeFrom="page">
                  <wp:posOffset>4162152</wp:posOffset>
                </wp:positionH>
                <wp:positionV relativeFrom="page">
                  <wp:posOffset>375620</wp:posOffset>
                </wp:positionV>
                <wp:extent cx="2714825" cy="808595"/>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2714825" cy="808595"/>
                        </a:xfrm>
                        <a:prstGeom prst="rect">
                          <a:avLst/>
                        </a:prstGeom>
                        <a:noFill/>
                        <a:ln w="12700" cap="flat">
                          <a:noFill/>
                          <a:miter lim="400000"/>
                        </a:ln>
                        <a:effectLst/>
                      </wps:spPr>
                      <wps:txbx>
                        <w:txbxContent>
                          <w:p w14:paraId="42DBA3E2" w14:textId="77777777" w:rsidR="00D41E00" w:rsidRDefault="00224E23">
                            <w:pPr>
                              <w:pStyle w:val="Default"/>
                              <w:jc w:val="right"/>
                              <w:rPr>
                                <w:rFonts w:ascii="Helvetica" w:eastAsia="Helvetica" w:hAnsi="Helvetica" w:cs="Helvetica"/>
                                <w:b/>
                                <w:bCs/>
                              </w:rPr>
                            </w:pPr>
                            <w:r>
                              <w:rPr>
                                <w:rFonts w:ascii="Helvetica" w:hAnsi="Helvetica"/>
                                <w:b/>
                                <w:bCs/>
                              </w:rPr>
                              <w:t>Bundanoon Men</w:t>
                            </w:r>
                            <w:r>
                              <w:rPr>
                                <w:rFonts w:ascii="Helvetica" w:hAnsi="Helvetica"/>
                                <w:b/>
                                <w:bCs/>
                              </w:rPr>
                              <w:t>’</w:t>
                            </w:r>
                            <w:r>
                              <w:rPr>
                                <w:rFonts w:ascii="Helvetica" w:hAnsi="Helvetica"/>
                                <w:b/>
                                <w:bCs/>
                              </w:rPr>
                              <w:t>s Shed Incorporated</w:t>
                            </w:r>
                          </w:p>
                          <w:p w14:paraId="7F2AFAB3" w14:textId="77777777" w:rsidR="00D41E00" w:rsidRDefault="00224E23">
                            <w:pPr>
                              <w:pStyle w:val="Default"/>
                              <w:jc w:val="right"/>
                              <w:rPr>
                                <w:rFonts w:ascii="Helvetica" w:eastAsia="Helvetica" w:hAnsi="Helvetica" w:cs="Helvetica"/>
                                <w:b/>
                                <w:bCs/>
                              </w:rPr>
                            </w:pPr>
                            <w:r>
                              <w:rPr>
                                <w:rFonts w:ascii="Helvetica" w:hAnsi="Helvetica"/>
                                <w:b/>
                                <w:bCs/>
                              </w:rPr>
                              <w:t>ABN387 496 219 00</w:t>
                            </w:r>
                          </w:p>
                          <w:p w14:paraId="2EE0B0EB" w14:textId="77777777" w:rsidR="00D41E00" w:rsidRDefault="00224E23">
                            <w:pPr>
                              <w:pStyle w:val="Default"/>
                              <w:jc w:val="right"/>
                              <w:rPr>
                                <w:rFonts w:ascii="Helvetica" w:eastAsia="Helvetica" w:hAnsi="Helvetica" w:cs="Helvetica"/>
                                <w:b/>
                                <w:bCs/>
                              </w:rPr>
                            </w:pPr>
                            <w:r>
                              <w:rPr>
                                <w:rFonts w:ascii="Helvetica" w:hAnsi="Helvetica"/>
                                <w:b/>
                                <w:bCs/>
                              </w:rPr>
                              <w:t xml:space="preserve">11 Burgess St </w:t>
                            </w:r>
                          </w:p>
                          <w:p w14:paraId="7CF00601" w14:textId="77777777" w:rsidR="00D41E00" w:rsidRDefault="00224E23">
                            <w:pPr>
                              <w:pStyle w:val="Default"/>
                              <w:jc w:val="right"/>
                              <w:rPr>
                                <w:rFonts w:ascii="Helvetica" w:eastAsia="Helvetica" w:hAnsi="Helvetica" w:cs="Helvetica"/>
                                <w:b/>
                                <w:bCs/>
                              </w:rPr>
                            </w:pPr>
                            <w:r>
                              <w:rPr>
                                <w:rFonts w:ascii="Helvetica" w:hAnsi="Helvetica"/>
                                <w:b/>
                                <w:bCs/>
                              </w:rPr>
                              <w:t>Bundanoon NSW 2578</w:t>
                            </w:r>
                          </w:p>
                          <w:p w14:paraId="1F233E04" w14:textId="77777777" w:rsidR="00D41E00" w:rsidRDefault="00224E23">
                            <w:pPr>
                              <w:pStyle w:val="Default"/>
                              <w:jc w:val="right"/>
                            </w:pPr>
                            <w:r>
                              <w:rPr>
                                <w:rFonts w:ascii="Helvetica" w:eastAsia="Helvetica" w:hAnsi="Helvetica" w:cs="Helvetica"/>
                                <w:b/>
                                <w:bCs/>
                              </w:rPr>
                              <w:tab/>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327.7pt;margin-top:29.6pt;width:213.8pt;height:63.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jc w:val="right"/>
                        <w:rPr>
                          <w:rFonts w:ascii="Helvetica" w:cs="Helvetica" w:hAnsi="Helvetica" w:eastAsia="Helvetica"/>
                          <w:b w:val="1"/>
                          <w:bCs w:val="1"/>
                          <w:u w:color="000000"/>
                        </w:rPr>
                      </w:pPr>
                      <w:r>
                        <w:rPr>
                          <w:rFonts w:ascii="Helvetica" w:hAnsi="Helvetica"/>
                          <w:b w:val="1"/>
                          <w:bCs w:val="1"/>
                          <w:u w:color="000000"/>
                          <w:rtl w:val="0"/>
                          <w:lang w:val="en-US"/>
                        </w:rPr>
                        <w:t>Bundanoon Men</w:t>
                      </w:r>
                      <w:r>
                        <w:rPr>
                          <w:rFonts w:ascii="Helvetica" w:hAnsi="Helvetica" w:hint="default"/>
                          <w:b w:val="1"/>
                          <w:bCs w:val="1"/>
                          <w:u w:color="000000"/>
                          <w:rtl w:val="0"/>
                          <w:lang w:val="en-US"/>
                        </w:rPr>
                        <w:t>’</w:t>
                      </w:r>
                      <w:r>
                        <w:rPr>
                          <w:rFonts w:ascii="Helvetica" w:hAnsi="Helvetica"/>
                          <w:b w:val="1"/>
                          <w:bCs w:val="1"/>
                          <w:u w:color="000000"/>
                          <w:rtl w:val="0"/>
                          <w:lang w:val="en-US"/>
                        </w:rPr>
                        <w:t>s Shed Incorporated</w:t>
                      </w:r>
                    </w:p>
                    <w:p>
                      <w:pPr>
                        <w:pStyle w:val="Default"/>
                        <w:jc w:val="right"/>
                        <w:rPr>
                          <w:rFonts w:ascii="Helvetica" w:cs="Helvetica" w:hAnsi="Helvetica" w:eastAsia="Helvetica"/>
                          <w:b w:val="1"/>
                          <w:bCs w:val="1"/>
                          <w:u w:color="000000"/>
                        </w:rPr>
                      </w:pPr>
                      <w:r>
                        <w:rPr>
                          <w:rFonts w:ascii="Helvetica" w:hAnsi="Helvetica"/>
                          <w:b w:val="1"/>
                          <w:bCs w:val="1"/>
                          <w:u w:color="000000"/>
                          <w:rtl w:val="0"/>
                          <w:lang w:val="en-US"/>
                        </w:rPr>
                        <w:t>ABN387 496 219 00</w:t>
                      </w:r>
                    </w:p>
                    <w:p>
                      <w:pPr>
                        <w:pStyle w:val="Default"/>
                        <w:jc w:val="right"/>
                        <w:rPr>
                          <w:rFonts w:ascii="Helvetica" w:cs="Helvetica" w:hAnsi="Helvetica" w:eastAsia="Helvetica"/>
                          <w:b w:val="1"/>
                          <w:bCs w:val="1"/>
                          <w:u w:color="000000"/>
                        </w:rPr>
                      </w:pPr>
                      <w:r>
                        <w:rPr>
                          <w:rFonts w:ascii="Helvetica" w:hAnsi="Helvetica"/>
                          <w:b w:val="1"/>
                          <w:bCs w:val="1"/>
                          <w:u w:color="000000"/>
                          <w:rtl w:val="0"/>
                          <w:lang w:val="en-US"/>
                        </w:rPr>
                        <w:t xml:space="preserve">11 Burgess St </w:t>
                      </w:r>
                    </w:p>
                    <w:p>
                      <w:pPr>
                        <w:pStyle w:val="Default"/>
                        <w:jc w:val="right"/>
                        <w:rPr>
                          <w:rFonts w:ascii="Helvetica" w:cs="Helvetica" w:hAnsi="Helvetica" w:eastAsia="Helvetica"/>
                          <w:b w:val="1"/>
                          <w:bCs w:val="1"/>
                          <w:u w:color="000000"/>
                        </w:rPr>
                      </w:pPr>
                      <w:r>
                        <w:rPr>
                          <w:rFonts w:ascii="Helvetica" w:hAnsi="Helvetica"/>
                          <w:b w:val="1"/>
                          <w:bCs w:val="1"/>
                          <w:u w:color="000000"/>
                          <w:rtl w:val="0"/>
                          <w:lang w:val="en-US"/>
                        </w:rPr>
                        <w:t>Bundanoon NSW 2578</w:t>
                      </w:r>
                    </w:p>
                    <w:p>
                      <w:pPr>
                        <w:pStyle w:val="Default"/>
                        <w:jc w:val="right"/>
                      </w:pPr>
                      <w:r>
                        <w:rPr>
                          <w:rFonts w:ascii="Helvetica" w:cs="Helvetica" w:hAnsi="Helvetica" w:eastAsia="Helvetica"/>
                          <w:b w:val="1"/>
                          <w:bCs w:val="1"/>
                          <w:u w:color="000000"/>
                        </w:rPr>
                        <w:tab/>
                      </w:r>
                    </w:p>
                  </w:txbxContent>
                </v:textbox>
                <w10:wrap type="through" side="bothSides" anchorx="page" anchory="page"/>
              </v:shape>
            </w:pict>
          </mc:Fallback>
        </mc:AlternateContent>
      </w:r>
    </w:p>
    <w:p w14:paraId="5B3FDB6E" w14:textId="77777777" w:rsidR="00D41E00" w:rsidRDefault="00224E23">
      <w:pPr>
        <w:pStyle w:val="BodyA"/>
        <w:jc w:val="center"/>
        <w:rPr>
          <w:sz w:val="24"/>
          <w:szCs w:val="24"/>
        </w:rPr>
      </w:pPr>
      <w:r>
        <w:rPr>
          <w:b/>
          <w:bCs/>
          <w:sz w:val="24"/>
          <w:szCs w:val="24"/>
        </w:rPr>
        <w:t>Bundanoon Men's Shed Code of Conduct</w:t>
      </w:r>
    </w:p>
    <w:p w14:paraId="3BD1F55C" w14:textId="77777777" w:rsidR="00D41E00" w:rsidRDefault="00D41E00">
      <w:pPr>
        <w:pStyle w:val="BodyA"/>
        <w:rPr>
          <w:sz w:val="24"/>
          <w:szCs w:val="24"/>
        </w:rPr>
      </w:pPr>
    </w:p>
    <w:p w14:paraId="00BEA191" w14:textId="77777777" w:rsidR="00D41E00" w:rsidRDefault="00224E23">
      <w:pPr>
        <w:pStyle w:val="BodyA"/>
        <w:numPr>
          <w:ilvl w:val="0"/>
          <w:numId w:val="2"/>
        </w:numPr>
        <w:spacing w:before="20" w:after="200"/>
        <w:rPr>
          <w:sz w:val="24"/>
          <w:szCs w:val="24"/>
        </w:rPr>
      </w:pPr>
      <w:r>
        <w:rPr>
          <w:b/>
          <w:bCs/>
          <w:sz w:val="24"/>
          <w:szCs w:val="24"/>
        </w:rPr>
        <w:t>Attendance</w:t>
      </w:r>
      <w:r>
        <w:rPr>
          <w:sz w:val="24"/>
          <w:szCs w:val="24"/>
        </w:rPr>
        <w:t xml:space="preserve"> </w:t>
      </w:r>
      <w:r>
        <w:rPr>
          <w:b/>
          <w:bCs/>
          <w:sz w:val="24"/>
          <w:szCs w:val="24"/>
        </w:rPr>
        <w:t xml:space="preserve">Book. </w:t>
      </w:r>
      <w:r>
        <w:rPr>
          <w:sz w:val="24"/>
          <w:szCs w:val="24"/>
        </w:rPr>
        <w:t xml:space="preserve">Members and visitors are to sign the Attendance Book on arrival and record </w:t>
      </w:r>
      <w:r>
        <w:rPr>
          <w:sz w:val="24"/>
          <w:szCs w:val="24"/>
        </w:rPr>
        <w:t>arrival and departure times.</w:t>
      </w:r>
    </w:p>
    <w:p w14:paraId="2C48F4AB" w14:textId="77777777" w:rsidR="00D41E00" w:rsidRDefault="00224E23">
      <w:pPr>
        <w:pStyle w:val="BodyA"/>
        <w:numPr>
          <w:ilvl w:val="0"/>
          <w:numId w:val="2"/>
        </w:numPr>
        <w:spacing w:before="20" w:after="200"/>
        <w:rPr>
          <w:sz w:val="24"/>
          <w:szCs w:val="24"/>
        </w:rPr>
      </w:pPr>
      <w:r>
        <w:rPr>
          <w:b/>
          <w:bCs/>
          <w:sz w:val="24"/>
          <w:szCs w:val="24"/>
        </w:rPr>
        <w:t xml:space="preserve">Identification. </w:t>
      </w:r>
      <w:r>
        <w:rPr>
          <w:sz w:val="24"/>
          <w:szCs w:val="24"/>
        </w:rPr>
        <w:t>Name tags or “Visitor” tags are to be worn while at the Shed.</w:t>
      </w:r>
    </w:p>
    <w:p w14:paraId="05DF186C" w14:textId="77777777" w:rsidR="00D41E00" w:rsidRDefault="00224E23">
      <w:pPr>
        <w:pStyle w:val="BodyA"/>
        <w:numPr>
          <w:ilvl w:val="0"/>
          <w:numId w:val="2"/>
        </w:numPr>
        <w:spacing w:before="20" w:after="200"/>
        <w:rPr>
          <w:sz w:val="24"/>
          <w:szCs w:val="24"/>
        </w:rPr>
      </w:pPr>
      <w:r>
        <w:rPr>
          <w:b/>
          <w:bCs/>
          <w:sz w:val="24"/>
          <w:szCs w:val="24"/>
        </w:rPr>
        <w:t xml:space="preserve">Conduct. </w:t>
      </w:r>
      <w:r>
        <w:rPr>
          <w:sz w:val="24"/>
          <w:szCs w:val="24"/>
        </w:rPr>
        <w:t>Those attending the Shed are to behave in a manner that is consistent with the Objects of the Shed as set out in the Constitution, acting in</w:t>
      </w:r>
      <w:r>
        <w:rPr>
          <w:sz w:val="24"/>
          <w:szCs w:val="24"/>
        </w:rPr>
        <w:t xml:space="preserve"> a non-threatening manner, appreciating and respecting the variety of values and beliefs of others. Bullying is never acceptable. Equality and equity principles are to be observed with no room for “egos”. Listening is as important as speaking in Shed conve</w:t>
      </w:r>
      <w:r>
        <w:rPr>
          <w:sz w:val="24"/>
          <w:szCs w:val="24"/>
        </w:rPr>
        <w:t>rsations or discussions. No illegal activities are to be undertaken at the Shed.</w:t>
      </w:r>
    </w:p>
    <w:p w14:paraId="5AB88D1C" w14:textId="77777777" w:rsidR="00D41E00" w:rsidRDefault="00224E23">
      <w:pPr>
        <w:pStyle w:val="BodyA"/>
        <w:numPr>
          <w:ilvl w:val="0"/>
          <w:numId w:val="2"/>
        </w:numPr>
        <w:spacing w:before="20" w:after="200"/>
        <w:rPr>
          <w:sz w:val="24"/>
          <w:szCs w:val="24"/>
        </w:rPr>
      </w:pPr>
      <w:r>
        <w:rPr>
          <w:b/>
          <w:bCs/>
          <w:sz w:val="24"/>
          <w:szCs w:val="24"/>
        </w:rPr>
        <w:t xml:space="preserve">Communication. </w:t>
      </w:r>
      <w:r>
        <w:rPr>
          <w:sz w:val="24"/>
          <w:szCs w:val="24"/>
        </w:rPr>
        <w:t>Only the President, Vice President or Secretary or other appointed member may issue statements to public media on behalf of the Shed, Any material intended to b</w:t>
      </w:r>
      <w:r>
        <w:rPr>
          <w:sz w:val="24"/>
          <w:szCs w:val="24"/>
        </w:rPr>
        <w:t xml:space="preserve">e published to the full membership will be at the discretion of the Secretary. </w:t>
      </w:r>
    </w:p>
    <w:p w14:paraId="750A5142" w14:textId="77777777" w:rsidR="00D41E00" w:rsidRDefault="00224E23">
      <w:pPr>
        <w:pStyle w:val="BodyA"/>
        <w:numPr>
          <w:ilvl w:val="0"/>
          <w:numId w:val="2"/>
        </w:numPr>
        <w:spacing w:before="20" w:after="200"/>
        <w:rPr>
          <w:sz w:val="24"/>
          <w:szCs w:val="24"/>
        </w:rPr>
      </w:pPr>
      <w:r>
        <w:rPr>
          <w:b/>
          <w:bCs/>
          <w:sz w:val="24"/>
          <w:szCs w:val="24"/>
        </w:rPr>
        <w:t xml:space="preserve">Privacy. </w:t>
      </w:r>
      <w:r>
        <w:rPr>
          <w:sz w:val="24"/>
          <w:szCs w:val="24"/>
        </w:rPr>
        <w:t>The privacy of others is to be respected particularly with email, telephone or other personal details where members have chosen non-disclosure of this information. Hea</w:t>
      </w:r>
      <w:r>
        <w:rPr>
          <w:sz w:val="24"/>
          <w:szCs w:val="24"/>
        </w:rPr>
        <w:t xml:space="preserve">lth issues may be discussed in meetings only with the consent of the individual concerned. Shed matters should stay within the Shed community. </w:t>
      </w:r>
    </w:p>
    <w:p w14:paraId="27DC50A8" w14:textId="77777777" w:rsidR="00D41E00" w:rsidRDefault="00224E23">
      <w:pPr>
        <w:pStyle w:val="BodyA"/>
        <w:numPr>
          <w:ilvl w:val="0"/>
          <w:numId w:val="2"/>
        </w:numPr>
        <w:spacing w:before="20" w:after="200"/>
        <w:rPr>
          <w:sz w:val="24"/>
          <w:szCs w:val="24"/>
        </w:rPr>
      </w:pPr>
      <w:r>
        <w:rPr>
          <w:b/>
          <w:bCs/>
          <w:sz w:val="24"/>
          <w:szCs w:val="24"/>
        </w:rPr>
        <w:t xml:space="preserve">Disputes. </w:t>
      </w:r>
      <w:r>
        <w:rPr>
          <w:sz w:val="24"/>
          <w:szCs w:val="24"/>
        </w:rPr>
        <w:t>Disputes between members concerning matters unrelated to the Shed are NOT to be brought to the Shed. S</w:t>
      </w:r>
      <w:r>
        <w:rPr>
          <w:sz w:val="24"/>
          <w:szCs w:val="24"/>
        </w:rPr>
        <w:t xml:space="preserve">hed-related disputes are expected </w:t>
      </w:r>
      <w:proofErr w:type="gramStart"/>
      <w:r>
        <w:rPr>
          <w:sz w:val="24"/>
          <w:szCs w:val="24"/>
        </w:rPr>
        <w:t>be</w:t>
      </w:r>
      <w:proofErr w:type="gramEnd"/>
      <w:r>
        <w:rPr>
          <w:sz w:val="24"/>
          <w:szCs w:val="24"/>
        </w:rPr>
        <w:t xml:space="preserve"> resolved in the first instance by the members themselves. Matters which are </w:t>
      </w:r>
      <w:r>
        <w:rPr>
          <w:i/>
          <w:iCs/>
          <w:sz w:val="24"/>
          <w:szCs w:val="24"/>
        </w:rPr>
        <w:t>significant and unresolved</w:t>
      </w:r>
      <w:r>
        <w:rPr>
          <w:sz w:val="24"/>
          <w:szCs w:val="24"/>
        </w:rPr>
        <w:t xml:space="preserve"> may be brought to the attention of any Executive member for advice. Beyond that, steps outlined in the Policy and Pr</w:t>
      </w:r>
      <w:r>
        <w:rPr>
          <w:sz w:val="24"/>
          <w:szCs w:val="24"/>
        </w:rPr>
        <w:t xml:space="preserve">ocedures Manual may be pursued. </w:t>
      </w:r>
    </w:p>
    <w:p w14:paraId="4A0F044A" w14:textId="77777777" w:rsidR="00D41E00" w:rsidRDefault="00224E23">
      <w:pPr>
        <w:pStyle w:val="BodyA"/>
        <w:numPr>
          <w:ilvl w:val="0"/>
          <w:numId w:val="2"/>
        </w:numPr>
        <w:spacing w:before="20" w:after="200"/>
        <w:rPr>
          <w:sz w:val="24"/>
          <w:szCs w:val="24"/>
        </w:rPr>
      </w:pPr>
      <w:r>
        <w:rPr>
          <w:b/>
          <w:bCs/>
          <w:sz w:val="24"/>
          <w:szCs w:val="24"/>
        </w:rPr>
        <w:t xml:space="preserve">Smoking and </w:t>
      </w:r>
      <w:proofErr w:type="spellStart"/>
      <w:r>
        <w:rPr>
          <w:b/>
          <w:bCs/>
          <w:sz w:val="24"/>
          <w:szCs w:val="24"/>
        </w:rPr>
        <w:t>drugs.</w:t>
      </w:r>
      <w:r>
        <w:rPr>
          <w:sz w:val="24"/>
          <w:szCs w:val="24"/>
        </w:rPr>
        <w:t>The</w:t>
      </w:r>
      <w:proofErr w:type="spellEnd"/>
      <w:r>
        <w:rPr>
          <w:sz w:val="24"/>
          <w:szCs w:val="24"/>
        </w:rPr>
        <w:t xml:space="preserve"> Shed and its surrounds are Non Smoking. No person under the influence of alcohol or illegal drugs is permitted to attend the Shed or its external activities.</w:t>
      </w:r>
    </w:p>
    <w:p w14:paraId="3D245AC2" w14:textId="77777777" w:rsidR="00D41E00" w:rsidRDefault="00224E23">
      <w:pPr>
        <w:pStyle w:val="BodyA"/>
        <w:numPr>
          <w:ilvl w:val="0"/>
          <w:numId w:val="2"/>
        </w:numPr>
        <w:spacing w:before="20" w:after="200"/>
        <w:rPr>
          <w:sz w:val="24"/>
          <w:szCs w:val="24"/>
        </w:rPr>
      </w:pPr>
      <w:r>
        <w:rPr>
          <w:b/>
          <w:bCs/>
          <w:sz w:val="24"/>
          <w:szCs w:val="24"/>
        </w:rPr>
        <w:t>Workshops.</w:t>
      </w:r>
      <w:r>
        <w:rPr>
          <w:sz w:val="24"/>
          <w:szCs w:val="24"/>
        </w:rPr>
        <w:t xml:space="preserve"> Members using workshop or other </w:t>
      </w:r>
      <w:r>
        <w:rPr>
          <w:sz w:val="24"/>
          <w:szCs w:val="24"/>
        </w:rPr>
        <w:t>equipment are to observe the Rules related to Safe Operating Procedures and wear appropriate footwear, clothing and Personal Protective equipment. Use of any machinery must have another Member present in the Shed at all times, and restricted machinery only</w:t>
      </w:r>
      <w:r>
        <w:rPr>
          <w:sz w:val="24"/>
          <w:szCs w:val="24"/>
        </w:rPr>
        <w:t xml:space="preserve"> used by those accredited to do so by means determined by the Committee. </w:t>
      </w:r>
      <w:proofErr w:type="spellStart"/>
      <w:proofErr w:type="gramStart"/>
      <w:r>
        <w:rPr>
          <w:sz w:val="24"/>
          <w:szCs w:val="24"/>
        </w:rPr>
        <w:t>Non members</w:t>
      </w:r>
      <w:proofErr w:type="spellEnd"/>
      <w:proofErr w:type="gramEnd"/>
      <w:r>
        <w:rPr>
          <w:sz w:val="24"/>
          <w:szCs w:val="24"/>
        </w:rPr>
        <w:t xml:space="preserve"> are not permitted to use equipment.</w:t>
      </w:r>
    </w:p>
    <w:p w14:paraId="36BA9015" w14:textId="77777777" w:rsidR="00D41E00" w:rsidRDefault="00224E23">
      <w:pPr>
        <w:pStyle w:val="BodyA"/>
        <w:numPr>
          <w:ilvl w:val="0"/>
          <w:numId w:val="2"/>
        </w:numPr>
        <w:spacing w:before="20" w:after="200"/>
        <w:rPr>
          <w:sz w:val="24"/>
          <w:szCs w:val="24"/>
        </w:rPr>
      </w:pPr>
      <w:r>
        <w:rPr>
          <w:b/>
          <w:bCs/>
          <w:sz w:val="24"/>
          <w:szCs w:val="24"/>
        </w:rPr>
        <w:t>Supervisors.</w:t>
      </w:r>
      <w:r>
        <w:rPr>
          <w:sz w:val="24"/>
          <w:szCs w:val="24"/>
        </w:rPr>
        <w:t xml:space="preserve"> Members and visitors must respect and follow the directions of the Supervisor with regard to use of equipment or issues of</w:t>
      </w:r>
      <w:r>
        <w:rPr>
          <w:sz w:val="24"/>
          <w:szCs w:val="24"/>
        </w:rPr>
        <w:t xml:space="preserve"> daily Shed operations. Any accident, injury, faulty or unsafe equipment are to be reported to the Supervisor and recorded in the Supervisors’ Daily Report book.</w:t>
      </w:r>
    </w:p>
    <w:p w14:paraId="2E3633AC" w14:textId="77777777" w:rsidR="00D41E00" w:rsidRDefault="00224E23">
      <w:pPr>
        <w:pStyle w:val="BodyA"/>
        <w:numPr>
          <w:ilvl w:val="0"/>
          <w:numId w:val="2"/>
        </w:numPr>
        <w:spacing w:before="20" w:after="200"/>
        <w:rPr>
          <w:sz w:val="24"/>
          <w:szCs w:val="24"/>
        </w:rPr>
      </w:pPr>
      <w:r>
        <w:rPr>
          <w:b/>
          <w:bCs/>
          <w:sz w:val="24"/>
          <w:szCs w:val="24"/>
        </w:rPr>
        <w:t xml:space="preserve">Housekeeping. </w:t>
      </w:r>
      <w:r>
        <w:rPr>
          <w:sz w:val="24"/>
          <w:szCs w:val="24"/>
        </w:rPr>
        <w:t xml:space="preserve">Workbenches are to be left uncluttered and clean at the end of each day, floors </w:t>
      </w:r>
      <w:r>
        <w:rPr>
          <w:sz w:val="24"/>
          <w:szCs w:val="24"/>
        </w:rPr>
        <w:t>swept and tools returned to their usual location. All crockery and cutlery items are to be washed up after use and kitchen benches left clean.</w:t>
      </w:r>
    </w:p>
    <w:p w14:paraId="7069103E" w14:textId="77777777" w:rsidR="00D41E00" w:rsidRDefault="00224E23">
      <w:pPr>
        <w:pStyle w:val="BodyA"/>
        <w:spacing w:before="20" w:after="200"/>
      </w:pPr>
      <w:r>
        <w:t xml:space="preserve">                                                                                                                                                              PTO</w:t>
      </w:r>
    </w:p>
    <w:p w14:paraId="09A114A9" w14:textId="77777777" w:rsidR="00D41E00" w:rsidRDefault="00D41E00">
      <w:pPr>
        <w:pStyle w:val="BodyA"/>
      </w:pPr>
    </w:p>
    <w:sectPr w:rsidR="00D41E00">
      <w:headerReference w:type="default" r:id="rId7"/>
      <w:footerReference w:type="default" r:id="rId8"/>
      <w:pgSz w:w="11900" w:h="16840"/>
      <w:pgMar w:top="2268" w:right="567" w:bottom="1134" w:left="85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A8E34" w14:textId="77777777" w:rsidR="00000000" w:rsidRDefault="00224E23">
      <w:r>
        <w:separator/>
      </w:r>
    </w:p>
  </w:endnote>
  <w:endnote w:type="continuationSeparator" w:id="0">
    <w:p w14:paraId="7D52EA95" w14:textId="77777777" w:rsidR="00000000" w:rsidRDefault="0022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576A" w14:textId="77777777" w:rsidR="00D41E00" w:rsidRDefault="00D41E0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98496" w14:textId="77777777" w:rsidR="00000000" w:rsidRDefault="00224E23">
      <w:r>
        <w:separator/>
      </w:r>
    </w:p>
  </w:footnote>
  <w:footnote w:type="continuationSeparator" w:id="0">
    <w:p w14:paraId="2074CE85" w14:textId="77777777" w:rsidR="00000000" w:rsidRDefault="0022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95B2" w14:textId="77777777" w:rsidR="00D41E00" w:rsidRDefault="00D41E00">
    <w:pPr>
      <w:pStyle w:val="HeaderFooter"/>
      <w:tabs>
        <w:tab w:val="clear" w:pos="9020"/>
        <w:tab w:val="center" w:pos="5244"/>
        <w:tab w:val="right" w:pos="10463"/>
      </w:tabs>
    </w:pPr>
  </w:p>
  <w:p w14:paraId="5882B716" w14:textId="77777777" w:rsidR="00D41E00" w:rsidRDefault="00224E23">
    <w:pPr>
      <w:pStyle w:val="HeaderFooter"/>
      <w:tabs>
        <w:tab w:val="clear" w:pos="9020"/>
        <w:tab w:val="center" w:pos="5244"/>
        <w:tab w:val="right" w:pos="10463"/>
      </w:tabs>
    </w:pPr>
    <w:r>
      <w:rPr>
        <w:noProof/>
      </w:rPr>
      <mc:AlternateContent>
        <mc:Choice Requires="wpg">
          <w:drawing>
            <wp:inline distT="0" distB="0" distL="0" distR="0" wp14:anchorId="2F18200C" wp14:editId="4B9233D7">
              <wp:extent cx="1136891" cy="610085"/>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136891" cy="610085"/>
                        <a:chOff x="0" y="0"/>
                        <a:chExt cx="1136890" cy="610084"/>
                      </a:xfrm>
                    </wpg:grpSpPr>
                    <wps:wsp>
                      <wps:cNvPr id="1073741825" name="Shape 1073741825"/>
                      <wps:cNvSpPr/>
                      <wps:spPr>
                        <a:xfrm>
                          <a:off x="-1" y="0"/>
                          <a:ext cx="1136891" cy="610085"/>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1"/>
                        <a:stretch>
                          <a:fillRect/>
                        </a:stretch>
                      </pic:blipFill>
                      <pic:spPr>
                        <a:xfrm>
                          <a:off x="-1" y="0"/>
                          <a:ext cx="1136891" cy="610085"/>
                        </a:xfrm>
                        <a:prstGeom prst="rect">
                          <a:avLst/>
                        </a:prstGeom>
                        <a:ln w="12700" cap="flat">
                          <a:noFill/>
                          <a:miter lim="400000"/>
                        </a:ln>
                        <a:effectLst/>
                      </pic:spPr>
                    </pic:pic>
                  </wpg:wgp>
                </a:graphicData>
              </a:graphic>
            </wp:inline>
          </w:drawing>
        </mc:Choice>
        <mc:Fallback>
          <w:pict>
            <v:group id="_x0000_s1027" style="visibility:visible;width:89.5pt;height:48.0pt;" coordorigin="-1,0" coordsize="1136891,610085">
              <v:rect id="_x0000_s1028" style="position:absolute;left:-1;top:0;width:1136891;height:610084;">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136890;height:610085;">
                <v:imagedata r:id="rId2" o:title="image1.jpeg"/>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6B60"/>
    <w:multiLevelType w:val="hybridMultilevel"/>
    <w:tmpl w:val="6F0EC3D0"/>
    <w:numStyleLink w:val="Numbered"/>
  </w:abstractNum>
  <w:abstractNum w:abstractNumId="1" w15:restartNumberingAfterBreak="0">
    <w:nsid w:val="7CE37448"/>
    <w:multiLevelType w:val="hybridMultilevel"/>
    <w:tmpl w:val="6F0EC3D0"/>
    <w:styleLink w:val="Numbered"/>
    <w:lvl w:ilvl="0" w:tplc="98E073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7A5F2A">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B52DE5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4169CF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5906D5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67623F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8C8EB8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2E2718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B5ACE4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798840917">
    <w:abstractNumId w:val="1"/>
  </w:num>
  <w:num w:numId="2" w16cid:durableId="2019456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00"/>
    <w:rsid w:val="00224E23"/>
    <w:rsid w:val="00D41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1669"/>
  <w15:docId w15:val="{359BE1AC-06C6-425C-801A-8EEBBBE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Milton McCarney</cp:lastModifiedBy>
  <cp:revision>2</cp:revision>
  <dcterms:created xsi:type="dcterms:W3CDTF">2022-12-20T00:47:00Z</dcterms:created>
  <dcterms:modified xsi:type="dcterms:W3CDTF">2022-12-20T00:47:00Z</dcterms:modified>
</cp:coreProperties>
</file>